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0063B9" w14:paraId="7D39632A" wp14:textId="7F931D48">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GB"/>
        </w:rPr>
      </w:pPr>
      <w:r w:rsidRPr="390063B9" w:rsidR="498C7708">
        <w:rPr>
          <w:rFonts w:ascii="Calibri Light" w:hAnsi="Calibri Light" w:eastAsia="Calibri Light" w:cs="Calibri Light"/>
          <w:b w:val="0"/>
          <w:bCs w:val="0"/>
          <w:i w:val="0"/>
          <w:iCs w:val="0"/>
          <w:caps w:val="0"/>
          <w:smallCaps w:val="0"/>
          <w:noProof w:val="0"/>
          <w:color w:val="2F5496" w:themeColor="accent1" w:themeTint="FF" w:themeShade="BF"/>
          <w:sz w:val="32"/>
          <w:szCs w:val="32"/>
          <w:lang w:val="en-GB"/>
        </w:rPr>
        <w:t>History</w:t>
      </w:r>
    </w:p>
    <w:p xmlns:wp14="http://schemas.microsoft.com/office/word/2010/wordml" w:rsidP="390063B9" w14:paraId="08AFEA48" wp14:textId="511255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1"/>
          <w:iCs w:val="1"/>
          <w:caps w:val="0"/>
          <w:smallCaps w:val="0"/>
          <w:noProof w:val="0"/>
          <w:color w:val="000000" w:themeColor="text1" w:themeTint="FF" w:themeShade="FF"/>
          <w:sz w:val="22"/>
          <w:szCs w:val="22"/>
          <w:lang w:val="en-GB"/>
        </w:rPr>
        <w:t xml:space="preserve">“History is who we are and why we are the way we are.” </w:t>
      </w:r>
      <w:r w:rsidRPr="390063B9" w:rsidR="498C7708">
        <w:rPr>
          <w:rFonts w:ascii="Calibri" w:hAnsi="Calibri" w:eastAsia="Calibri" w:cs="Calibri"/>
          <w:b w:val="1"/>
          <w:bCs w:val="1"/>
          <w:i w:val="1"/>
          <w:iCs w:val="1"/>
          <w:caps w:val="0"/>
          <w:smallCaps w:val="0"/>
          <w:noProof w:val="0"/>
          <w:color w:val="000000" w:themeColor="text1" w:themeTint="FF" w:themeShade="FF"/>
          <w:sz w:val="22"/>
          <w:szCs w:val="22"/>
          <w:lang w:val="en-GB"/>
        </w:rPr>
        <w:t>David McCullough, American historian (1933- )</w:t>
      </w:r>
    </w:p>
    <w:p xmlns:wp14="http://schemas.microsoft.com/office/word/2010/wordml" w:rsidP="390063B9" w14:paraId="122524E9" wp14:textId="71F4164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p>
    <w:p xmlns:wp14="http://schemas.microsoft.com/office/word/2010/wordml" w:rsidP="390063B9" w14:paraId="61B2CEB1" wp14:textId="0080DD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1"/>
          <w:bCs w:val="1"/>
          <w:i w:val="0"/>
          <w:iCs w:val="0"/>
          <w:caps w:val="0"/>
          <w:smallCaps w:val="0"/>
          <w:noProof w:val="0"/>
          <w:color w:val="000000" w:themeColor="text1" w:themeTint="FF" w:themeShade="FF"/>
          <w:sz w:val="22"/>
          <w:szCs w:val="22"/>
          <w:lang w:val="en-GB"/>
        </w:rPr>
        <w:t>Aims</w:t>
      </w: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390063B9" w14:paraId="3B9D49E3" wp14:textId="4922D1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All pupils: </w:t>
      </w:r>
    </w:p>
    <w:p xmlns:wp14="http://schemas.microsoft.com/office/word/2010/wordml" w:rsidP="390063B9" w14:paraId="01FD2F25" wp14:textId="6DC536A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know and understand the history of these islands as a coherent, chronological narrative, from the earliest times to the present day: how people’s lives have shaped this nation and how Britain has influenced and been influenced by the wider world </w:t>
      </w:r>
    </w:p>
    <w:p xmlns:wp14="http://schemas.microsoft.com/office/word/2010/wordml" w:rsidP="390063B9" w14:paraId="4BE8E098" wp14:textId="6E4D50B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know and understand significant aspects of the history of the wider world: the nature of ancient civilisations; the expansion and dissolution of empires; characteristic features of past non-European societies; achievements and follies of mankind </w:t>
      </w:r>
    </w:p>
    <w:p xmlns:wp14="http://schemas.microsoft.com/office/word/2010/wordml" w:rsidP="390063B9" w14:paraId="345F2878" wp14:textId="1B7E13C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gain and deploy a historically grounded understanding of abstract terms such as ‘empire’, ‘civilisation’, ‘parliament’ and ‘peasantry’ </w:t>
      </w:r>
    </w:p>
    <w:p xmlns:wp14="http://schemas.microsoft.com/office/word/2010/wordml" w:rsidP="390063B9" w14:paraId="32F3E3B1" wp14:textId="0EE7D64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xmlns:wp14="http://schemas.microsoft.com/office/word/2010/wordml" w:rsidP="390063B9" w14:paraId="6E16A361" wp14:textId="625AC36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390063B9" w:rsidR="498C7708">
        <w:rPr>
          <w:rFonts w:ascii="Calibri" w:hAnsi="Calibri" w:eastAsia="Calibri" w:cs="Calibri"/>
          <w:b w:val="0"/>
          <w:bCs w:val="0"/>
          <w:i w:val="0"/>
          <w:iCs w:val="0"/>
          <w:caps w:val="0"/>
          <w:smallCaps w:val="0"/>
          <w:noProof w:val="0"/>
          <w:color w:val="000000" w:themeColor="text1" w:themeTint="FF" w:themeShade="FF"/>
          <w:sz w:val="22"/>
          <w:szCs w:val="22"/>
          <w:lang w:val="en-GB"/>
        </w:rPr>
        <w:t>understand the methods of historical enquiry, including how evidence is used rigorously to make historical claims, and discern how and why contrasting arguments and interpretations of the past have been constructed.</w:t>
      </w:r>
    </w:p>
    <w:p xmlns:wp14="http://schemas.microsoft.com/office/word/2010/wordml" w14:paraId="26708ECB" wp14:textId="69958104">
      <w:r>
        <w:br w:type="page"/>
      </w:r>
    </w:p>
    <w:tbl>
      <w:tblPr>
        <w:tblStyle w:val="TableGrid"/>
        <w:tblW w:w="12900" w:type="dxa"/>
        <w:tblLayout w:type="fixed"/>
        <w:tblLook w:val="04A0" w:firstRow="1" w:lastRow="0" w:firstColumn="1" w:lastColumn="0" w:noHBand="0" w:noVBand="1"/>
      </w:tblPr>
      <w:tblGrid>
        <w:gridCol w:w="1845"/>
        <w:gridCol w:w="1845"/>
        <w:gridCol w:w="1845"/>
        <w:gridCol w:w="1845"/>
        <w:gridCol w:w="1845"/>
        <w:gridCol w:w="855"/>
        <w:gridCol w:w="855"/>
        <w:gridCol w:w="1965"/>
      </w:tblGrid>
      <w:tr w:rsidR="390063B9" w:rsidTr="2AF7CD34" w14:paraId="13CF1444">
        <w:trPr>
          <w:trHeight w:val="300"/>
        </w:trPr>
        <w:tc>
          <w:tcPr>
            <w:tcW w:w="1845" w:type="dxa"/>
            <w:shd w:val="clear" w:color="auto" w:fill="690000"/>
            <w:tcMar/>
            <w:vAlign w:val="top"/>
          </w:tcPr>
          <w:p w:rsidR="390063B9" w:rsidP="390063B9" w:rsidRDefault="390063B9" w14:paraId="25069B0D" w14:textId="5746774F">
            <w:pPr>
              <w:spacing w:line="259" w:lineRule="auto"/>
              <w:rPr>
                <w:rFonts w:ascii="Calibri" w:hAnsi="Calibri" w:eastAsia="Calibri" w:cs="Calibri"/>
                <w:b w:val="0"/>
                <w:bCs w:val="0"/>
                <w:i w:val="0"/>
                <w:iCs w:val="0"/>
                <w:caps w:val="0"/>
                <w:smallCaps w:val="0"/>
                <w:color w:val="FFFFFF" w:themeColor="background1" w:themeTint="FF" w:themeShade="FF"/>
                <w:sz w:val="22"/>
                <w:szCs w:val="22"/>
              </w:rPr>
            </w:pPr>
          </w:p>
        </w:tc>
        <w:tc>
          <w:tcPr>
            <w:tcW w:w="1845" w:type="dxa"/>
            <w:shd w:val="clear" w:color="auto" w:fill="690000"/>
            <w:tcMar/>
            <w:vAlign w:val="top"/>
          </w:tcPr>
          <w:p w:rsidR="390063B9" w:rsidP="390063B9" w:rsidRDefault="390063B9" w14:paraId="47CC152F" w14:textId="5A7095D6">
            <w:pPr>
              <w:spacing w:line="259" w:lineRule="auto"/>
              <w:rPr>
                <w:rFonts w:ascii="Calibri" w:hAnsi="Calibri" w:eastAsia="Calibri" w:cs="Calibri"/>
                <w:b w:val="0"/>
                <w:bCs w:val="0"/>
                <w:i w:val="0"/>
                <w:iCs w:val="0"/>
                <w:caps w:val="0"/>
                <w:smallCaps w:val="0"/>
                <w:color w:val="FFFFFF" w:themeColor="background1" w:themeTint="FF" w:themeShade="FF"/>
                <w:sz w:val="22"/>
                <w:szCs w:val="22"/>
              </w:rPr>
            </w:pPr>
            <w:r w:rsidRPr="390063B9" w:rsidR="390063B9">
              <w:rPr>
                <w:rFonts w:ascii="Calibri" w:hAnsi="Calibri" w:eastAsia="Calibri" w:cs="Calibri"/>
                <w:b w:val="0"/>
                <w:bCs w:val="0"/>
                <w:i w:val="0"/>
                <w:iCs w:val="0"/>
                <w:caps w:val="0"/>
                <w:smallCaps w:val="0"/>
                <w:color w:val="FFFFFF" w:themeColor="background1" w:themeTint="FF" w:themeShade="FF"/>
                <w:sz w:val="22"/>
                <w:szCs w:val="22"/>
                <w:lang w:val="en-GB"/>
              </w:rPr>
              <w:t>Autumn 1</w:t>
            </w:r>
          </w:p>
        </w:tc>
        <w:tc>
          <w:tcPr>
            <w:tcW w:w="1845" w:type="dxa"/>
            <w:shd w:val="clear" w:color="auto" w:fill="690000"/>
            <w:tcMar/>
            <w:vAlign w:val="top"/>
          </w:tcPr>
          <w:p w:rsidR="390063B9" w:rsidP="390063B9" w:rsidRDefault="390063B9" w14:paraId="14C93252" w14:textId="5632A83F">
            <w:pPr>
              <w:spacing w:line="259" w:lineRule="auto"/>
              <w:rPr>
                <w:rFonts w:ascii="Calibri" w:hAnsi="Calibri" w:eastAsia="Calibri" w:cs="Calibri"/>
                <w:b w:val="0"/>
                <w:bCs w:val="0"/>
                <w:i w:val="0"/>
                <w:iCs w:val="0"/>
                <w:caps w:val="0"/>
                <w:smallCaps w:val="0"/>
                <w:color w:val="FFFFFF" w:themeColor="background1" w:themeTint="FF" w:themeShade="FF"/>
                <w:sz w:val="22"/>
                <w:szCs w:val="22"/>
              </w:rPr>
            </w:pPr>
            <w:r w:rsidRPr="390063B9" w:rsidR="390063B9">
              <w:rPr>
                <w:rFonts w:ascii="Calibri" w:hAnsi="Calibri" w:eastAsia="Calibri" w:cs="Calibri"/>
                <w:b w:val="0"/>
                <w:bCs w:val="0"/>
                <w:i w:val="0"/>
                <w:iCs w:val="0"/>
                <w:caps w:val="0"/>
                <w:smallCaps w:val="0"/>
                <w:color w:val="FFFFFF" w:themeColor="background1" w:themeTint="FF" w:themeShade="FF"/>
                <w:sz w:val="22"/>
                <w:szCs w:val="22"/>
                <w:lang w:val="en-GB"/>
              </w:rPr>
              <w:t>Autumn 2</w:t>
            </w:r>
          </w:p>
        </w:tc>
        <w:tc>
          <w:tcPr>
            <w:tcW w:w="1845" w:type="dxa"/>
            <w:shd w:val="clear" w:color="auto" w:fill="690000"/>
            <w:tcMar/>
            <w:vAlign w:val="top"/>
          </w:tcPr>
          <w:p w:rsidR="390063B9" w:rsidP="390063B9" w:rsidRDefault="390063B9" w14:paraId="72D5A4F8" w14:textId="7301D910">
            <w:pPr>
              <w:spacing w:line="259" w:lineRule="auto"/>
              <w:rPr>
                <w:rFonts w:ascii="Calibri" w:hAnsi="Calibri" w:eastAsia="Calibri" w:cs="Calibri"/>
                <w:b w:val="0"/>
                <w:bCs w:val="0"/>
                <w:i w:val="0"/>
                <w:iCs w:val="0"/>
                <w:caps w:val="0"/>
                <w:smallCaps w:val="0"/>
                <w:color w:val="FFFFFF" w:themeColor="background1" w:themeTint="FF" w:themeShade="FF"/>
                <w:sz w:val="22"/>
                <w:szCs w:val="22"/>
              </w:rPr>
            </w:pPr>
            <w:r w:rsidRPr="390063B9" w:rsidR="390063B9">
              <w:rPr>
                <w:rFonts w:ascii="Calibri" w:hAnsi="Calibri" w:eastAsia="Calibri" w:cs="Calibri"/>
                <w:b w:val="0"/>
                <w:bCs w:val="0"/>
                <w:i w:val="0"/>
                <w:iCs w:val="0"/>
                <w:caps w:val="0"/>
                <w:smallCaps w:val="0"/>
                <w:color w:val="FFFFFF" w:themeColor="background1" w:themeTint="FF" w:themeShade="FF"/>
                <w:sz w:val="22"/>
                <w:szCs w:val="22"/>
                <w:lang w:val="en-GB"/>
              </w:rPr>
              <w:t>Spring 1</w:t>
            </w:r>
          </w:p>
        </w:tc>
        <w:tc>
          <w:tcPr>
            <w:tcW w:w="1845" w:type="dxa"/>
            <w:shd w:val="clear" w:color="auto" w:fill="690000"/>
            <w:tcMar/>
            <w:vAlign w:val="top"/>
          </w:tcPr>
          <w:p w:rsidR="390063B9" w:rsidP="390063B9" w:rsidRDefault="390063B9" w14:paraId="2FAE0E87" w14:textId="4425DE64">
            <w:pPr>
              <w:spacing w:line="259" w:lineRule="auto"/>
              <w:rPr>
                <w:rFonts w:ascii="Calibri" w:hAnsi="Calibri" w:eastAsia="Calibri" w:cs="Calibri"/>
                <w:b w:val="0"/>
                <w:bCs w:val="0"/>
                <w:i w:val="0"/>
                <w:iCs w:val="0"/>
                <w:caps w:val="0"/>
                <w:smallCaps w:val="0"/>
                <w:color w:val="FFFFFF" w:themeColor="background1" w:themeTint="FF" w:themeShade="FF"/>
                <w:sz w:val="22"/>
                <w:szCs w:val="22"/>
              </w:rPr>
            </w:pPr>
            <w:r w:rsidRPr="390063B9" w:rsidR="390063B9">
              <w:rPr>
                <w:rFonts w:ascii="Calibri" w:hAnsi="Calibri" w:eastAsia="Calibri" w:cs="Calibri"/>
                <w:b w:val="0"/>
                <w:bCs w:val="0"/>
                <w:i w:val="0"/>
                <w:iCs w:val="0"/>
                <w:caps w:val="0"/>
                <w:smallCaps w:val="0"/>
                <w:color w:val="FFFFFF" w:themeColor="background1" w:themeTint="FF" w:themeShade="FF"/>
                <w:sz w:val="22"/>
                <w:szCs w:val="22"/>
                <w:lang w:val="en-GB"/>
              </w:rPr>
              <w:t>Spring 2</w:t>
            </w:r>
          </w:p>
        </w:tc>
        <w:tc>
          <w:tcPr>
            <w:tcW w:w="1710" w:type="dxa"/>
            <w:gridSpan w:val="2"/>
            <w:shd w:val="clear" w:color="auto" w:fill="690000"/>
            <w:tcMar/>
            <w:vAlign w:val="top"/>
          </w:tcPr>
          <w:p w:rsidR="390063B9" w:rsidP="390063B9" w:rsidRDefault="390063B9" w14:paraId="12CC6A44" w14:textId="32AEF417">
            <w:pPr>
              <w:spacing w:line="259" w:lineRule="auto"/>
              <w:rPr>
                <w:rFonts w:ascii="Calibri" w:hAnsi="Calibri" w:eastAsia="Calibri" w:cs="Calibri"/>
                <w:b w:val="0"/>
                <w:bCs w:val="0"/>
                <w:i w:val="0"/>
                <w:iCs w:val="0"/>
                <w:caps w:val="0"/>
                <w:smallCaps w:val="0"/>
                <w:color w:val="FFFFFF" w:themeColor="background1" w:themeTint="FF" w:themeShade="FF"/>
                <w:sz w:val="22"/>
                <w:szCs w:val="22"/>
              </w:rPr>
            </w:pPr>
            <w:r w:rsidRPr="390063B9" w:rsidR="390063B9">
              <w:rPr>
                <w:rFonts w:ascii="Calibri" w:hAnsi="Calibri" w:eastAsia="Calibri" w:cs="Calibri"/>
                <w:b w:val="0"/>
                <w:bCs w:val="0"/>
                <w:i w:val="0"/>
                <w:iCs w:val="0"/>
                <w:caps w:val="0"/>
                <w:smallCaps w:val="0"/>
                <w:color w:val="FFFFFF" w:themeColor="background1" w:themeTint="FF" w:themeShade="FF"/>
                <w:sz w:val="22"/>
                <w:szCs w:val="22"/>
                <w:lang w:val="en-GB"/>
              </w:rPr>
              <w:t>Summer 1</w:t>
            </w:r>
          </w:p>
        </w:tc>
        <w:tc>
          <w:tcPr>
            <w:tcW w:w="1965" w:type="dxa"/>
            <w:shd w:val="clear" w:color="auto" w:fill="690000"/>
            <w:tcMar/>
            <w:vAlign w:val="top"/>
          </w:tcPr>
          <w:p w:rsidR="390063B9" w:rsidP="390063B9" w:rsidRDefault="390063B9" w14:paraId="79B4010F" w14:textId="32B78FBC">
            <w:pPr>
              <w:spacing w:line="259" w:lineRule="auto"/>
              <w:rPr>
                <w:rFonts w:ascii="Calibri" w:hAnsi="Calibri" w:eastAsia="Calibri" w:cs="Calibri"/>
                <w:b w:val="0"/>
                <w:bCs w:val="0"/>
                <w:i w:val="0"/>
                <w:iCs w:val="0"/>
                <w:caps w:val="0"/>
                <w:smallCaps w:val="0"/>
                <w:color w:val="FFFFFF" w:themeColor="background1" w:themeTint="FF" w:themeShade="FF"/>
                <w:sz w:val="22"/>
                <w:szCs w:val="22"/>
              </w:rPr>
            </w:pPr>
            <w:r w:rsidRPr="390063B9" w:rsidR="390063B9">
              <w:rPr>
                <w:rFonts w:ascii="Calibri" w:hAnsi="Calibri" w:eastAsia="Calibri" w:cs="Calibri"/>
                <w:b w:val="0"/>
                <w:bCs w:val="0"/>
                <w:i w:val="0"/>
                <w:iCs w:val="0"/>
                <w:caps w:val="0"/>
                <w:smallCaps w:val="0"/>
                <w:color w:val="FFFFFF" w:themeColor="background1" w:themeTint="FF" w:themeShade="FF"/>
                <w:sz w:val="22"/>
                <w:szCs w:val="22"/>
                <w:lang w:val="en-GB"/>
              </w:rPr>
              <w:t>Summer 2</w:t>
            </w:r>
          </w:p>
        </w:tc>
      </w:tr>
      <w:tr w:rsidR="390063B9" w:rsidTr="2AF7CD34" w14:paraId="110BA7D2">
        <w:trPr>
          <w:trHeight w:val="300"/>
        </w:trPr>
        <w:tc>
          <w:tcPr>
            <w:tcW w:w="1845" w:type="dxa"/>
            <w:tcMar/>
            <w:vAlign w:val="top"/>
          </w:tcPr>
          <w:p w:rsidR="390063B9" w:rsidP="390063B9" w:rsidRDefault="390063B9" w14:paraId="75587F33" w14:textId="07715102">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Year 7</w:t>
            </w:r>
          </w:p>
        </w:tc>
        <w:tc>
          <w:tcPr>
            <w:tcW w:w="1845" w:type="dxa"/>
            <w:tcMar/>
            <w:vAlign w:val="top"/>
          </w:tcPr>
          <w:p w:rsidR="390063B9" w:rsidP="390063B9" w:rsidRDefault="390063B9" w14:paraId="500B87CF" w14:textId="5838350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Britain before 1066 and the Battle of Hastings</w:t>
            </w:r>
          </w:p>
        </w:tc>
        <w:tc>
          <w:tcPr>
            <w:tcW w:w="1845" w:type="dxa"/>
            <w:tcMar/>
            <w:vAlign w:val="top"/>
          </w:tcPr>
          <w:p w:rsidR="390063B9" w:rsidP="390063B9" w:rsidRDefault="390063B9" w14:paraId="2CEFE56F" w14:textId="14900A6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Life in Norman England</w:t>
            </w:r>
          </w:p>
        </w:tc>
        <w:tc>
          <w:tcPr>
            <w:tcW w:w="1845" w:type="dxa"/>
            <w:tcMar/>
            <w:vAlign w:val="top"/>
          </w:tcPr>
          <w:p w:rsidR="390063B9" w:rsidP="390063B9" w:rsidRDefault="390063B9" w14:paraId="34E0D32F" w14:textId="58BB7F7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A thematic study of public health and disease between Roman and Medieval times</w:t>
            </w:r>
          </w:p>
        </w:tc>
        <w:tc>
          <w:tcPr>
            <w:tcW w:w="1845" w:type="dxa"/>
            <w:tcMar/>
            <w:vAlign w:val="top"/>
          </w:tcPr>
          <w:p w:rsidR="390063B9" w:rsidP="390063B9" w:rsidRDefault="390063B9" w14:paraId="2054CB82" w14:textId="28A76F4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A thematic study of religious change</w:t>
            </w:r>
          </w:p>
        </w:tc>
        <w:tc>
          <w:tcPr>
            <w:tcW w:w="1710" w:type="dxa"/>
            <w:gridSpan w:val="2"/>
            <w:tcMar/>
            <w:vAlign w:val="top"/>
          </w:tcPr>
          <w:p w:rsidR="390063B9" w:rsidP="390063B9" w:rsidRDefault="390063B9" w14:paraId="7535A162" w14:textId="11FF5B91">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roles and rights of women between Anglo-Saxon and Norman times</w:t>
            </w:r>
          </w:p>
        </w:tc>
        <w:tc>
          <w:tcPr>
            <w:tcW w:w="1965" w:type="dxa"/>
            <w:tcMar/>
            <w:vAlign w:val="top"/>
          </w:tcPr>
          <w:p w:rsidR="390063B9" w:rsidP="390063B9" w:rsidRDefault="390063B9" w14:paraId="4C869516" w14:textId="70204B1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growth of parliamentary democracy and the English Civil War</w:t>
            </w:r>
          </w:p>
        </w:tc>
      </w:tr>
      <w:tr w:rsidR="390063B9" w:rsidTr="2AF7CD34" w14:paraId="2C34035E">
        <w:trPr>
          <w:trHeight w:val="300"/>
        </w:trPr>
        <w:tc>
          <w:tcPr>
            <w:tcW w:w="1845" w:type="dxa"/>
            <w:tcMar/>
            <w:vAlign w:val="top"/>
          </w:tcPr>
          <w:p w:rsidR="390063B9" w:rsidP="390063B9" w:rsidRDefault="390063B9" w14:paraId="2539D0D1" w14:textId="42D857D0">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Year 8</w:t>
            </w:r>
          </w:p>
        </w:tc>
        <w:tc>
          <w:tcPr>
            <w:tcW w:w="1845" w:type="dxa"/>
            <w:tcMar/>
            <w:vAlign w:val="top"/>
          </w:tcPr>
          <w:p w:rsidR="390063B9" w:rsidP="390063B9" w:rsidRDefault="390063B9" w14:paraId="10218764" w14:textId="4EF7041F">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Slave Trade</w:t>
            </w:r>
          </w:p>
        </w:tc>
        <w:tc>
          <w:tcPr>
            <w:tcW w:w="1845" w:type="dxa"/>
            <w:tcMar/>
            <w:vAlign w:val="top"/>
          </w:tcPr>
          <w:p w:rsidR="390063B9" w:rsidP="390063B9" w:rsidRDefault="390063B9" w14:paraId="6E5270E0" w14:textId="4E210E7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Industrial Revolution</w:t>
            </w:r>
          </w:p>
        </w:tc>
        <w:tc>
          <w:tcPr>
            <w:tcW w:w="1845" w:type="dxa"/>
            <w:tcMar/>
            <w:vAlign w:val="top"/>
          </w:tcPr>
          <w:p w:rsidR="390063B9" w:rsidP="2AF7CD34" w:rsidRDefault="390063B9" w14:paraId="0DB6FF65" w14:textId="643EA24F">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AF7CD34" w:rsidR="390063B9">
              <w:rPr>
                <w:rFonts w:ascii="Calibri" w:hAnsi="Calibri" w:eastAsia="Calibri" w:cs="Calibri"/>
                <w:b w:val="0"/>
                <w:bCs w:val="0"/>
                <w:i w:val="0"/>
                <w:iCs w:val="0"/>
                <w:caps w:val="0"/>
                <w:smallCaps w:val="0"/>
                <w:color w:val="000000" w:themeColor="text1" w:themeTint="FF" w:themeShade="FF"/>
                <w:sz w:val="22"/>
                <w:szCs w:val="22"/>
                <w:lang w:val="en-GB"/>
              </w:rPr>
              <w:t>The growth of Bristol, Liverpool and London</w:t>
            </w:r>
          </w:p>
        </w:tc>
        <w:tc>
          <w:tcPr>
            <w:tcW w:w="1845" w:type="dxa"/>
            <w:tcMar/>
            <w:vAlign w:val="top"/>
          </w:tcPr>
          <w:p w:rsidR="390063B9" w:rsidP="390063B9" w:rsidRDefault="390063B9" w14:paraId="6B1637AA" w14:textId="7E828B6E">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British Empire</w:t>
            </w:r>
          </w:p>
        </w:tc>
        <w:tc>
          <w:tcPr>
            <w:tcW w:w="1710" w:type="dxa"/>
            <w:gridSpan w:val="2"/>
            <w:tcMar/>
            <w:vAlign w:val="top"/>
          </w:tcPr>
          <w:p w:rsidR="390063B9" w:rsidP="390063B9" w:rsidRDefault="390063B9" w14:paraId="5C4F4404" w14:textId="2B13A8E8">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causes of WW1</w:t>
            </w:r>
          </w:p>
        </w:tc>
        <w:tc>
          <w:tcPr>
            <w:tcW w:w="1965" w:type="dxa"/>
            <w:tcMar/>
            <w:vAlign w:val="top"/>
          </w:tcPr>
          <w:p w:rsidR="390063B9" w:rsidP="390063B9" w:rsidRDefault="390063B9" w14:paraId="23E56BB2" w14:textId="51B5E6A2">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 xml:space="preserve">The main events of WW1 </w:t>
            </w:r>
          </w:p>
        </w:tc>
      </w:tr>
      <w:tr w:rsidR="390063B9" w:rsidTr="2AF7CD34" w14:paraId="160FB657">
        <w:trPr>
          <w:trHeight w:val="300"/>
        </w:trPr>
        <w:tc>
          <w:tcPr>
            <w:tcW w:w="1845" w:type="dxa"/>
            <w:tcMar/>
            <w:vAlign w:val="top"/>
          </w:tcPr>
          <w:p w:rsidR="390063B9" w:rsidP="390063B9" w:rsidRDefault="390063B9" w14:paraId="219AE828" w14:textId="5AFDC7AA">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Year 9</w:t>
            </w:r>
          </w:p>
        </w:tc>
        <w:tc>
          <w:tcPr>
            <w:tcW w:w="1845" w:type="dxa"/>
            <w:tcMar/>
            <w:vAlign w:val="top"/>
          </w:tcPr>
          <w:p w:rsidR="390063B9" w:rsidP="390063B9" w:rsidRDefault="390063B9" w14:paraId="06F62980" w14:textId="4219E37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consequences of WW1</w:t>
            </w:r>
          </w:p>
        </w:tc>
        <w:tc>
          <w:tcPr>
            <w:tcW w:w="1845" w:type="dxa"/>
            <w:tcMar/>
            <w:vAlign w:val="top"/>
          </w:tcPr>
          <w:p w:rsidR="390063B9" w:rsidP="390063B9" w:rsidRDefault="390063B9" w14:paraId="2B1F00AA" w14:textId="59EFFCE3">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Votes for Women and the USA in the 1920s</w:t>
            </w:r>
          </w:p>
        </w:tc>
        <w:tc>
          <w:tcPr>
            <w:tcW w:w="1845" w:type="dxa"/>
            <w:tcMar/>
            <w:vAlign w:val="top"/>
          </w:tcPr>
          <w:p w:rsidR="390063B9" w:rsidP="390063B9" w:rsidRDefault="390063B9" w14:paraId="558C82A0" w14:textId="054B7839">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390063B9" w:rsidR="390063B9">
              <w:rPr>
                <w:rFonts w:ascii="Calibri" w:hAnsi="Calibri" w:eastAsia="Calibri" w:cs="Calibri"/>
                <w:b w:val="0"/>
                <w:bCs w:val="0"/>
                <w:i w:val="0"/>
                <w:iCs w:val="0"/>
                <w:caps w:val="0"/>
                <w:smallCaps w:val="0"/>
                <w:color w:val="000000" w:themeColor="text1" w:themeTint="FF" w:themeShade="FF"/>
                <w:sz w:val="22"/>
                <w:szCs w:val="22"/>
                <w:lang w:val="en-GB"/>
              </w:rPr>
              <w:t>The rise of dictators in the 1930s</w:t>
            </w:r>
          </w:p>
        </w:tc>
        <w:tc>
          <w:tcPr>
            <w:tcW w:w="2700" w:type="dxa"/>
            <w:gridSpan w:val="2"/>
            <w:tcMar/>
            <w:vAlign w:val="top"/>
          </w:tcPr>
          <w:p w:rsidR="4AB83560" w:rsidP="2AF7CD34" w:rsidRDefault="4AB83560" w14:paraId="79685E58" w14:textId="14003E75">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color w:val="000000" w:themeColor="text1" w:themeTint="FF" w:themeShade="FF"/>
                <w:sz w:val="22"/>
                <w:szCs w:val="22"/>
                <w:lang w:val="en-GB"/>
              </w:rPr>
            </w:pPr>
            <w:r w:rsidRPr="2AF7CD34" w:rsidR="4AB83560">
              <w:rPr>
                <w:rFonts w:ascii="Calibri" w:hAnsi="Calibri" w:eastAsia="Calibri" w:cs="Calibri"/>
                <w:b w:val="0"/>
                <w:bCs w:val="0"/>
                <w:i w:val="0"/>
                <w:iCs w:val="0"/>
                <w:caps w:val="0"/>
                <w:smallCaps w:val="0"/>
                <w:color w:val="000000" w:themeColor="text1" w:themeTint="FF" w:themeShade="FF"/>
                <w:sz w:val="22"/>
                <w:szCs w:val="22"/>
                <w:lang w:val="en-GB"/>
              </w:rPr>
              <w:t>Depth Study of Weimar Germany</w:t>
            </w:r>
          </w:p>
        </w:tc>
        <w:tc>
          <w:tcPr>
            <w:tcW w:w="2820" w:type="dxa"/>
            <w:gridSpan w:val="2"/>
            <w:tcMar/>
            <w:vAlign w:val="top"/>
          </w:tcPr>
          <w:p w:rsidR="4AB83560" w:rsidP="2AF7CD34" w:rsidRDefault="4AB83560" w14:paraId="197A13C4" w14:textId="0AE005D2">
            <w:pPr>
              <w:pStyle w:val="Normal"/>
              <w:rPr>
                <w:rFonts w:ascii="Calibri" w:hAnsi="Calibri" w:eastAsia="Calibri" w:cs="Calibri"/>
                <w:b w:val="0"/>
                <w:bCs w:val="0"/>
                <w:i w:val="0"/>
                <w:iCs w:val="0"/>
                <w:caps w:val="0"/>
                <w:smallCaps w:val="0"/>
                <w:color w:val="000000" w:themeColor="text1" w:themeTint="FF" w:themeShade="FF"/>
                <w:sz w:val="22"/>
                <w:szCs w:val="22"/>
                <w:lang w:val="en-GB"/>
              </w:rPr>
            </w:pPr>
            <w:r w:rsidRPr="2AF7CD34" w:rsidR="4AB83560">
              <w:rPr>
                <w:rFonts w:ascii="Calibri" w:hAnsi="Calibri" w:eastAsia="Calibri" w:cs="Calibri"/>
                <w:b w:val="0"/>
                <w:bCs w:val="0"/>
                <w:i w:val="0"/>
                <w:iCs w:val="0"/>
                <w:caps w:val="0"/>
                <w:smallCaps w:val="0"/>
                <w:color w:val="000000" w:themeColor="text1" w:themeTint="FF" w:themeShade="FF"/>
                <w:sz w:val="22"/>
                <w:szCs w:val="22"/>
                <w:lang w:val="en-GB"/>
              </w:rPr>
              <w:t>Depth Study of Nazi Germany</w:t>
            </w:r>
          </w:p>
        </w:tc>
      </w:tr>
    </w:tbl>
    <w:p xmlns:wp14="http://schemas.microsoft.com/office/word/2010/wordml" w:rsidP="390063B9" w14:paraId="5E5787A5" wp14:textId="62011525">
      <w:pPr>
        <w:pStyle w:val="Normal"/>
      </w:pPr>
    </w:p>
    <w:sectPr>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4b74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4B582A"/>
    <w:rsid w:val="2AF7CD34"/>
    <w:rsid w:val="390063B9"/>
    <w:rsid w:val="49770990"/>
    <w:rsid w:val="498C7708"/>
    <w:rsid w:val="4AB83560"/>
    <w:rsid w:val="4DDEC80D"/>
    <w:rsid w:val="644B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582A"/>
  <w15:chartTrackingRefBased/>
  <w15:docId w15:val="{7DA7BE81-C798-441E-A2C9-2C33B1D784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62c3736edd547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Hutton</dc:creator>
  <keywords/>
  <dc:description/>
  <lastModifiedBy>Mrs L Hutton</lastModifiedBy>
  <revision>3</revision>
  <dcterms:created xsi:type="dcterms:W3CDTF">2022-09-10T20:37:46.5606714Z</dcterms:created>
  <dcterms:modified xsi:type="dcterms:W3CDTF">2022-09-25T12:12:16.5492037Z</dcterms:modified>
</coreProperties>
</file>